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>R3G mensal — desempenho da Aciaria</w:t>
      </w:r>
    </w:p>
    <w:p>
      <w:r>
        <w:rPr>
          <w:b w:val="true"/>
        </w:rPr>
      </w:r>
      <w:r>
        <w:t>Resultado</w:t>
      </w:r>
    </w:p>
    <w:p>
      <w:r>
        <w:t>A produção superou a meta do período, com estabilidade no lingotamento e recuperação do ritmo dos conversores.</w:t>
      </w:r>
    </w:p>
    <w:p>
      <w:r>
        <w:rPr>
          <w:b w:val="true"/>
        </w:rPr>
      </w:r>
      <w:r>
        <w:t>Gaps</w:t>
      </w:r>
    </w:p>
    <w:p>
      <w:r>
        <w:t>Consumo específico de energia e disponibilidade do alto-forno ficaram na faixa de atenção.</w:t>
      </w:r>
    </w:p>
    <w:p>
      <w:r>
        <w:rPr>
          <w:b w:val="true"/>
        </w:rPr>
      </w:r>
      <w:r>
        <w:t>Ganhos</w:t>
      </w:r>
    </w:p>
    <w:p>
      <w:r>
        <w:t>Redução de retrabalho, maior conformidade química e melhor aderência ao plano diário.</w:t>
      </w:r>
    </w:p>
    <w:p>
      <w:r>
        <w:rPr>
          <w:b w:val="true"/>
        </w:rPr>
      </w:r>
      <w:r>
        <w:t>Próximos passos</w:t>
      </w:r>
    </w:p>
    <w:p>
      <w:r>
        <w:t>Concluir análise de falha do sistema de sopro e revisar a curva de aquecimento do forno-panela.</w:t>
      </w:r>
    </w:p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settings.xml" Type="http://schemas.openxmlformats.org/officeDocument/2006/relationships/setting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2026-08-22T12:50:46Z</dcterms:created>
  <dc:creator>Apache POI</dc:creator>
</cp:coreProperties>
</file>