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Relatório gerencial de farol</w:t>
      </w:r>
    </w:p>
    <w:p>
      <w:r>
        <w:t>Itens de controle, metas e acompanhamento consolidado.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c>
          <w:p>
            <w:r>
              <w:t>Código</w:t>
            </w:r>
          </w:p>
        </w:tc>
        <w:tc>
          <w:p>
            <w:r>
              <w:t>Indicador</w:t>
            </w:r>
          </w:p>
        </w:tc>
        <w:tc>
          <w:p>
            <w:r>
              <w:t>Meta</w:t>
            </w:r>
          </w:p>
        </w:tc>
        <w:tc>
          <w:p>
            <w:r>
              <w:t>Realizado</w:t>
            </w:r>
          </w:p>
        </w:tc>
        <w:tc>
          <w:p>
            <w:r>
              <w:t>Farol</w:t>
            </w:r>
          </w:p>
        </w:tc>
      </w:tr>
      <w:tr>
        <w:tc>
          <w:p>
            <w:r>
              <w:t>SEG-001</w:t>
            </w:r>
          </w:p>
        </w:tc>
        <w:tc>
          <w:p>
            <w:r>
              <w:t>Taxa de frequência de acidentes</w:t>
            </w:r>
          </w:p>
        </w:tc>
        <w:tc>
          <w:p>
            <w:r>
              <w:t>0.25</w:t>
            </w:r>
          </w:p>
        </w:tc>
        <w:tc>
          <w:p>
            <w:r>
              <w:t>0.18</w:t>
            </w:r>
          </w:p>
        </w:tc>
        <w:tc>
          <w:p>
            <w:r>
              <w:t>Superado</w:t>
            </w:r>
          </w:p>
        </w:tc>
      </w:tr>
      <w:tr>
        <w:tc>
          <w:p>
            <w:r>
              <w:t>AMB-003</w:t>
            </w:r>
          </w:p>
        </w:tc>
        <w:tc>
          <w:p>
            <w:r>
              <w:t>Geração específica de escória</w:t>
            </w:r>
          </w:p>
        </w:tc>
        <w:tc>
          <w:p>
            <w:r>
              <w:t>285.00</w:t>
            </w:r>
          </w:p>
        </w:tc>
        <w:tc>
          <w:p>
            <w:r>
              <w:t>301.00</w:t>
            </w:r>
          </w:p>
        </w:tc>
        <w:tc>
          <w:p>
            <w:r>
              <w:t>Atenção</w:t>
            </w:r>
          </w:p>
        </w:tc>
      </w:tr>
      <w:tr>
        <w:tc>
          <w:p>
            <w:r>
              <w:t>MAN-008</w:t>
            </w:r>
          </w:p>
        </w:tc>
        <w:tc>
          <w:p>
            <w:r>
              <w:t>Disponibilidade dos altos-fornos</w:t>
            </w:r>
          </w:p>
        </w:tc>
        <w:tc>
          <w:p>
            <w:r>
              <w:t>94.00</w:t>
            </w:r>
          </w:p>
        </w:tc>
        <w:tc>
          <w:p>
            <w:r>
              <w:t>88.70</w:t>
            </w:r>
          </w:p>
        </w:tc>
        <w:tc>
          <w:p>
            <w:r>
              <w:t>Crítico</w:t>
            </w:r>
          </w:p>
        </w:tc>
      </w:tr>
      <w:tr>
        <w:tc>
          <w:p>
            <w:r>
              <w:t>QLD-012</w:t>
            </w:r>
          </w:p>
        </w:tc>
        <w:tc>
          <w:p>
            <w:r>
              <w:t>Índice de conformidade química</w:t>
            </w:r>
          </w:p>
        </w:tc>
        <w:tc>
          <w:p>
            <w:r>
              <w:t>98.50</w:t>
            </w:r>
          </w:p>
        </w:tc>
        <w:tc>
          <w:p>
            <w:r>
              <w:t>99.10</w:t>
            </w:r>
          </w:p>
        </w:tc>
        <w:tc>
          <w:p>
            <w:r>
              <w:t>No alvo</w:t>
            </w:r>
          </w:p>
        </w:tc>
      </w:tr>
      <w:tr>
        <w:tc>
          <w:p>
            <w:r>
              <w:t>ENE-004</w:t>
            </w:r>
          </w:p>
        </w:tc>
        <w:tc>
          <w:p>
            <w:r>
              <w:t>Consumo específico de energia</w:t>
            </w:r>
          </w:p>
        </w:tc>
        <w:tc>
          <w:p>
            <w:r>
              <w:t>465.00</w:t>
            </w:r>
          </w:p>
        </w:tc>
        <w:tc>
          <w:p>
            <w:r>
              <w:t>478.00</w:t>
            </w:r>
          </w:p>
        </w:tc>
        <w:tc>
          <w:p>
            <w:r>
              <w:t>Atenção</w:t>
            </w:r>
          </w:p>
        </w:tc>
      </w:tr>
      <w:tr>
        <w:tc>
          <w:p>
            <w:r>
              <w:t>PRD-001</w:t>
            </w:r>
          </w:p>
        </w:tc>
        <w:tc>
          <w:p>
            <w:r>
              <w:t>Produção de aço bruto</w:t>
            </w:r>
          </w:p>
        </w:tc>
        <w:tc>
          <w:p>
            <w:r>
              <w:t>4,850.00</w:t>
            </w:r>
          </w:p>
        </w:tc>
        <w:tc>
          <w:p>
            <w:r>
              <w:t>4,928.00</w:t>
            </w:r>
          </w:p>
        </w:tc>
        <w:tc>
          <w:p>
            <w:r>
              <w:t>No alvo</w:t>
            </w:r>
          </w:p>
        </w:tc>
      </w:tr>
    </w:tbl>
    <w:p>
      <w:r>
        <w:rPr>
          <w:b w:val="true"/>
        </w:rPr>
      </w:r>
      <w:r>
        <w:t>Desdobramento de metas</w:t>
      </w:r>
    </w:p>
    <w:tbl>
      <w:tblPr>
        <w:tblW w:w="0" w:type="auto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r>
        <w:tc>
          <w:p>
            <w:r>
              <w:t>Indicador pai</w:t>
            </w:r>
          </w:p>
        </w:tc>
        <w:tc>
          <w:p>
            <w:r>
              <w:t>Indicador filho</w:t>
            </w:r>
          </w:p>
        </w:tc>
        <w:tc>
          <w:p>
            <w:r>
              <w:t>Peso</w:t>
            </w:r>
          </w:p>
        </w:tc>
      </w:tr>
      <w:tr>
        <w:tc>
          <w:p>
            <w:r>
              <w:t>PRD-001 - Produção de aço bruto</w:t>
            </w:r>
          </w:p>
        </w:tc>
        <w:tc>
          <w:p>
            <w:r>
              <w:t>MAN-008 - Disponibilidade dos altos-fornos</w:t>
            </w:r>
          </w:p>
        </w:tc>
        <w:tc>
          <w:p>
            <w:r>
              <w:t>35.00%</w:t>
            </w:r>
          </w:p>
        </w:tc>
      </w:tr>
      <w:tr>
        <w:tc>
          <w:p>
            <w:r>
              <w:t>PRD-001 - Produção de aço bruto</w:t>
            </w:r>
          </w:p>
        </w:tc>
        <w:tc>
          <w:p>
            <w:r>
              <w:t>ENE-004 - Consumo específico de energia</w:t>
            </w:r>
          </w:p>
        </w:tc>
        <w:tc>
          <w:p>
            <w:r>
              <w:t>20.00%</w:t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2026-08-22T12:49:29Z</dcterms:created>
  <dc:creator>Apache POI</dc:creator>
</cp:coreProperties>
</file>